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72" w:rsidRPr="00D21889" w:rsidRDefault="00473572" w:rsidP="00473572">
      <w:pPr>
        <w:rPr>
          <w:rFonts w:ascii="Candara" w:hAnsi="Candara"/>
          <w:b/>
          <w:sz w:val="20"/>
          <w:szCs w:val="20"/>
        </w:rPr>
      </w:pPr>
      <w:r w:rsidRPr="00D21889">
        <w:rPr>
          <w:rFonts w:ascii="Candara" w:hAnsi="Candara"/>
          <w:b/>
          <w:sz w:val="20"/>
          <w:szCs w:val="20"/>
        </w:rPr>
        <w:t>Dirección de Regulación, Ordenamiento Urbano y Mejora Continua</w:t>
      </w:r>
    </w:p>
    <w:p w:rsidR="00473572" w:rsidRPr="00D21889" w:rsidRDefault="00473572" w:rsidP="00473572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|</w:t>
      </w:r>
      <w:r w:rsidRPr="00D21889">
        <w:rPr>
          <w:rFonts w:ascii="Candara" w:hAnsi="Candara"/>
          <w:sz w:val="20"/>
          <w:szCs w:val="20"/>
        </w:rPr>
        <w:t>Listado de servicios:</w:t>
      </w:r>
    </w:p>
    <w:p w:rsidR="00473572" w:rsidRPr="00D21889" w:rsidRDefault="00473572" w:rsidP="00473572">
      <w:pPr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1.-Validación del cumplimiento normativo de programas parciales de urbanización.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 xml:space="preserve">Requisitos de entrega (3 juegos y 2 digitales para el consejo, 4 juegos y 2 digitales para aprobación). 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Oficio de solicitud firmado en original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Carta responsiva del perito urbano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 xml:space="preserve">Dictamen de vocación del suelo modalidad </w:t>
      </w:r>
      <w:r>
        <w:rPr>
          <w:rFonts w:ascii="Candara" w:hAnsi="Candara"/>
          <w:sz w:val="20"/>
          <w:szCs w:val="20"/>
        </w:rPr>
        <w:t>III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Acreditación de la propiedad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Identificación oficial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Certificado de acreditación de solvencia fiscal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Certificado de libertad de gravamen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Factibilidad de CAPDAM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Factibilidad de CFE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Factibilidad de CONAGUA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Factibilidad de acceso carretero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Plano y oficio certificado por catastro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Acta del consejo técnico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Dictamen del INAH o INBA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Oficio tramites ambientales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Versión amplia impresa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Versión abreviada impresa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 xml:space="preserve">Versión digital documento y planos (en </w:t>
      </w:r>
      <w:proofErr w:type="spellStart"/>
      <w:r w:rsidRPr="00D21889">
        <w:rPr>
          <w:rFonts w:ascii="Candara" w:hAnsi="Candara"/>
          <w:sz w:val="20"/>
          <w:szCs w:val="20"/>
        </w:rPr>
        <w:t>dwg</w:t>
      </w:r>
      <w:proofErr w:type="spellEnd"/>
      <w:r w:rsidRPr="00D21889">
        <w:rPr>
          <w:rFonts w:ascii="Candara" w:hAnsi="Candara"/>
          <w:sz w:val="20"/>
          <w:szCs w:val="20"/>
        </w:rPr>
        <w:t xml:space="preserve"> y </w:t>
      </w:r>
      <w:proofErr w:type="spellStart"/>
      <w:r w:rsidRPr="00D21889">
        <w:rPr>
          <w:rFonts w:ascii="Candara" w:hAnsi="Candara"/>
          <w:sz w:val="20"/>
          <w:szCs w:val="20"/>
        </w:rPr>
        <w:t>pdf</w:t>
      </w:r>
      <w:proofErr w:type="spellEnd"/>
      <w:r w:rsidRPr="00D21889">
        <w:rPr>
          <w:rFonts w:ascii="Candara" w:hAnsi="Candara"/>
          <w:sz w:val="20"/>
          <w:szCs w:val="20"/>
        </w:rPr>
        <w:t>)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 xml:space="preserve">Planos </w:t>
      </w:r>
      <w:proofErr w:type="spellStart"/>
      <w:r w:rsidRPr="00D21889">
        <w:rPr>
          <w:rFonts w:ascii="Candara" w:hAnsi="Candara"/>
          <w:sz w:val="20"/>
          <w:szCs w:val="20"/>
        </w:rPr>
        <w:t>georeferenciados</w:t>
      </w:r>
      <w:proofErr w:type="spellEnd"/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Acreditación de pago de derechos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 xml:space="preserve">Fundamento: Conforme al Título Octavo de la Ley de Asentamientos Humanos del Estado de Colima, relativo a la Autorización del Programa Parcial de Urbanización, establecido en los Arts. </w:t>
      </w:r>
      <w:proofErr w:type="gramStart"/>
      <w:r w:rsidRPr="00D21889">
        <w:rPr>
          <w:rFonts w:ascii="Candara" w:hAnsi="Candara"/>
          <w:sz w:val="20"/>
          <w:szCs w:val="20"/>
        </w:rPr>
        <w:t xml:space="preserve">21  </w:t>
      </w:r>
      <w:proofErr w:type="spellStart"/>
      <w:r w:rsidRPr="00D21889">
        <w:rPr>
          <w:rFonts w:ascii="Candara" w:hAnsi="Candara"/>
          <w:sz w:val="20"/>
          <w:szCs w:val="20"/>
        </w:rPr>
        <w:t>fracc</w:t>
      </w:r>
      <w:proofErr w:type="gramEnd"/>
      <w:r w:rsidRPr="00D21889">
        <w:rPr>
          <w:rFonts w:ascii="Candara" w:hAnsi="Candara"/>
          <w:sz w:val="20"/>
          <w:szCs w:val="20"/>
        </w:rPr>
        <w:t>.</w:t>
      </w:r>
      <w:proofErr w:type="spellEnd"/>
      <w:r w:rsidRPr="00D21889">
        <w:rPr>
          <w:rFonts w:ascii="Candara" w:hAnsi="Candara"/>
          <w:sz w:val="20"/>
          <w:szCs w:val="20"/>
        </w:rPr>
        <w:t xml:space="preserve"> II y VIII, 259, </w:t>
      </w:r>
      <w:proofErr w:type="gramStart"/>
      <w:r w:rsidRPr="00D21889">
        <w:rPr>
          <w:rFonts w:ascii="Candara" w:hAnsi="Candara"/>
          <w:sz w:val="20"/>
          <w:szCs w:val="20"/>
        </w:rPr>
        <w:t>276 ,</w:t>
      </w:r>
      <w:proofErr w:type="gramEnd"/>
      <w:r w:rsidRPr="00D21889">
        <w:rPr>
          <w:rFonts w:ascii="Candara" w:hAnsi="Candara"/>
          <w:sz w:val="20"/>
          <w:szCs w:val="20"/>
        </w:rPr>
        <w:t xml:space="preserve"> 277, 280 y 283, además del Art. 42 del Reglamento de la Ley Federal sobre Monumentos y Zonas Arqueológicas, Artísticos e Históricos</w:t>
      </w:r>
    </w:p>
    <w:p w:rsidR="00473572" w:rsidRPr="00D21889" w:rsidRDefault="00473572" w:rsidP="00473572">
      <w:pPr>
        <w:rPr>
          <w:rFonts w:ascii="Candara" w:hAnsi="Candara"/>
          <w:sz w:val="20"/>
          <w:szCs w:val="20"/>
        </w:rPr>
      </w:pPr>
    </w:p>
    <w:p w:rsidR="00473572" w:rsidRPr="00D21889" w:rsidRDefault="00473572" w:rsidP="00473572">
      <w:pPr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2.- Autorización de Condominios en el Municipio;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Oficio de solicitud firmado por el DRO y propietario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 xml:space="preserve">Documento que acredite la propiedad inscrito en el </w:t>
      </w:r>
      <w:proofErr w:type="spellStart"/>
      <w:r w:rsidRPr="00D21889">
        <w:rPr>
          <w:rFonts w:ascii="Candara" w:hAnsi="Candara"/>
          <w:sz w:val="20"/>
          <w:szCs w:val="20"/>
        </w:rPr>
        <w:t>rpp</w:t>
      </w:r>
      <w:proofErr w:type="spellEnd"/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Domicilio para recibir notificaciones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Plano avalado por la dirección de catastro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 xml:space="preserve">Fuente de abastecimiento de </w:t>
      </w:r>
      <w:proofErr w:type="spellStart"/>
      <w:r w:rsidRPr="00D21889">
        <w:rPr>
          <w:rFonts w:ascii="Candara" w:hAnsi="Candara"/>
          <w:sz w:val="20"/>
          <w:szCs w:val="20"/>
        </w:rPr>
        <w:t>de</w:t>
      </w:r>
      <w:proofErr w:type="spellEnd"/>
      <w:r w:rsidRPr="00D21889">
        <w:rPr>
          <w:rFonts w:ascii="Candara" w:hAnsi="Candara"/>
          <w:sz w:val="20"/>
          <w:szCs w:val="20"/>
        </w:rPr>
        <w:t xml:space="preserve"> los servicios públicos.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Infraestructura sanitaria y pluvial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Ubicación de acceso y vialidades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Espacios de estacionamiento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Espacios de carga y descarga (</w:t>
      </w:r>
      <w:proofErr w:type="spellStart"/>
      <w:r w:rsidRPr="00D21889">
        <w:rPr>
          <w:rFonts w:ascii="Candara" w:hAnsi="Candara"/>
          <w:sz w:val="20"/>
          <w:szCs w:val="20"/>
        </w:rPr>
        <w:t>ind</w:t>
      </w:r>
      <w:proofErr w:type="spellEnd"/>
      <w:r w:rsidRPr="00D21889">
        <w:rPr>
          <w:rFonts w:ascii="Candara" w:hAnsi="Candara"/>
          <w:sz w:val="20"/>
          <w:szCs w:val="20"/>
        </w:rPr>
        <w:t xml:space="preserve"> y </w:t>
      </w:r>
      <w:proofErr w:type="spellStart"/>
      <w:r w:rsidRPr="00D21889">
        <w:rPr>
          <w:rFonts w:ascii="Candara" w:hAnsi="Candara"/>
          <w:sz w:val="20"/>
          <w:szCs w:val="20"/>
        </w:rPr>
        <w:t>com</w:t>
      </w:r>
      <w:proofErr w:type="spellEnd"/>
      <w:r w:rsidRPr="00D21889">
        <w:rPr>
          <w:rFonts w:ascii="Candara" w:hAnsi="Candara"/>
          <w:sz w:val="20"/>
          <w:szCs w:val="20"/>
        </w:rPr>
        <w:t>)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 xml:space="preserve">Red de </w:t>
      </w:r>
      <w:proofErr w:type="spellStart"/>
      <w:r w:rsidRPr="00D21889">
        <w:rPr>
          <w:rFonts w:ascii="Candara" w:hAnsi="Candara"/>
          <w:sz w:val="20"/>
          <w:szCs w:val="20"/>
        </w:rPr>
        <w:t>infr</w:t>
      </w:r>
      <w:proofErr w:type="spellEnd"/>
      <w:r w:rsidRPr="00D21889">
        <w:rPr>
          <w:rFonts w:ascii="Candara" w:hAnsi="Candara"/>
          <w:sz w:val="20"/>
          <w:szCs w:val="20"/>
        </w:rPr>
        <w:t xml:space="preserve">. </w:t>
      </w:r>
      <w:proofErr w:type="spellStart"/>
      <w:r w:rsidRPr="00D21889">
        <w:rPr>
          <w:rFonts w:ascii="Candara" w:hAnsi="Candara"/>
          <w:sz w:val="20"/>
          <w:szCs w:val="20"/>
        </w:rPr>
        <w:t>electrica</w:t>
      </w:r>
      <w:proofErr w:type="spellEnd"/>
      <w:r w:rsidRPr="00D21889">
        <w:rPr>
          <w:rFonts w:ascii="Candara" w:hAnsi="Candara"/>
          <w:sz w:val="20"/>
          <w:szCs w:val="20"/>
        </w:rPr>
        <w:t xml:space="preserve">, de </w:t>
      </w:r>
      <w:proofErr w:type="spellStart"/>
      <w:r w:rsidRPr="00D21889">
        <w:rPr>
          <w:rFonts w:ascii="Candara" w:hAnsi="Candara"/>
          <w:sz w:val="20"/>
          <w:szCs w:val="20"/>
        </w:rPr>
        <w:t>comunic</w:t>
      </w:r>
      <w:proofErr w:type="spellEnd"/>
      <w:r w:rsidRPr="00D21889">
        <w:rPr>
          <w:rFonts w:ascii="Candara" w:hAnsi="Candara"/>
          <w:sz w:val="20"/>
          <w:szCs w:val="20"/>
        </w:rPr>
        <w:t>. y gas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Solución ambiental (</w:t>
      </w:r>
      <w:proofErr w:type="spellStart"/>
      <w:r w:rsidRPr="00D21889">
        <w:rPr>
          <w:rFonts w:ascii="Candara" w:hAnsi="Candara"/>
          <w:sz w:val="20"/>
          <w:szCs w:val="20"/>
        </w:rPr>
        <w:t>ind</w:t>
      </w:r>
      <w:proofErr w:type="spellEnd"/>
      <w:r w:rsidRPr="00D21889">
        <w:rPr>
          <w:rFonts w:ascii="Candara" w:hAnsi="Candara"/>
          <w:sz w:val="20"/>
          <w:szCs w:val="20"/>
        </w:rPr>
        <w:t xml:space="preserve"> y comerciales)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Especificación del área privada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Delimitación de áreas de uso común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Ubicación, medidas y linderos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Constancia de permisos y licencias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Descripción del plano general y especificaciones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Descripción de planos particulares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Valor nominal y porcentaje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Destino general y particular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Bienes de propiedad común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proofErr w:type="spellStart"/>
      <w:r w:rsidRPr="00D21889">
        <w:rPr>
          <w:rFonts w:ascii="Candara" w:hAnsi="Candara"/>
          <w:sz w:val="20"/>
          <w:szCs w:val="20"/>
        </w:rPr>
        <w:t>Presup</w:t>
      </w:r>
      <w:proofErr w:type="spellEnd"/>
      <w:r w:rsidRPr="00D21889">
        <w:rPr>
          <w:rFonts w:ascii="Candara" w:hAnsi="Candara"/>
          <w:sz w:val="20"/>
          <w:szCs w:val="20"/>
        </w:rPr>
        <w:t xml:space="preserve"> de obra. </w:t>
      </w:r>
      <w:proofErr w:type="spellStart"/>
      <w:r w:rsidRPr="00D21889">
        <w:rPr>
          <w:rFonts w:ascii="Candara" w:hAnsi="Candara"/>
          <w:sz w:val="20"/>
          <w:szCs w:val="20"/>
        </w:rPr>
        <w:t>caracteris</w:t>
      </w:r>
      <w:proofErr w:type="spellEnd"/>
      <w:r w:rsidRPr="00D21889">
        <w:rPr>
          <w:rFonts w:ascii="Candara" w:hAnsi="Candara"/>
          <w:sz w:val="20"/>
          <w:szCs w:val="20"/>
        </w:rPr>
        <w:t xml:space="preserve">. y monto de la </w:t>
      </w:r>
      <w:proofErr w:type="spellStart"/>
      <w:r w:rsidRPr="00D21889">
        <w:rPr>
          <w:rFonts w:ascii="Candara" w:hAnsi="Candara"/>
          <w:sz w:val="20"/>
          <w:szCs w:val="20"/>
        </w:rPr>
        <w:t>poliza</w:t>
      </w:r>
      <w:proofErr w:type="spellEnd"/>
      <w:r w:rsidRPr="00D21889">
        <w:rPr>
          <w:rFonts w:ascii="Candara" w:hAnsi="Candara"/>
          <w:sz w:val="20"/>
          <w:szCs w:val="20"/>
        </w:rPr>
        <w:t>.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Constitución de la asociación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Reglamento interno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t>Modificación de escritura</w:t>
      </w:r>
    </w:p>
    <w:p w:rsidR="00473572" w:rsidRPr="00D21889" w:rsidRDefault="00473572" w:rsidP="00473572">
      <w:pPr>
        <w:ind w:left="179"/>
        <w:rPr>
          <w:rFonts w:ascii="Candara" w:hAnsi="Candara"/>
          <w:sz w:val="20"/>
          <w:szCs w:val="20"/>
        </w:rPr>
      </w:pPr>
      <w:r w:rsidRPr="00D21889">
        <w:rPr>
          <w:rFonts w:ascii="Candara" w:hAnsi="Candara"/>
          <w:sz w:val="20"/>
          <w:szCs w:val="20"/>
        </w:rPr>
        <w:lastRenderedPageBreak/>
        <w:t>Fundamento Ley de Condominios del Estado de Colima, relativo a la Autorización de Régimen de Condominio, artículos 3 y 4.</w:t>
      </w:r>
    </w:p>
    <w:p w:rsidR="00473572" w:rsidRDefault="00473572" w:rsidP="00473572">
      <w:pPr>
        <w:rPr>
          <w:rFonts w:ascii="Candara" w:hAnsi="Candara"/>
          <w:sz w:val="20"/>
          <w:szCs w:val="20"/>
        </w:rPr>
      </w:pPr>
    </w:p>
    <w:p w:rsidR="00473572" w:rsidRDefault="00473572" w:rsidP="00473572">
      <w:pPr>
        <w:rPr>
          <w:rFonts w:ascii="Candara" w:hAnsi="Candara"/>
          <w:sz w:val="20"/>
          <w:szCs w:val="20"/>
        </w:rPr>
      </w:pPr>
      <w:r w:rsidRPr="005446D6">
        <w:rPr>
          <w:rFonts w:ascii="Candara" w:hAnsi="Candara"/>
          <w:b/>
          <w:sz w:val="20"/>
          <w:szCs w:val="20"/>
        </w:rPr>
        <w:t>Dirección de Medio Ambiente:</w:t>
      </w:r>
      <w:r w:rsidRPr="005446D6">
        <w:rPr>
          <w:rFonts w:ascii="Candara" w:hAnsi="Candara"/>
          <w:sz w:val="20"/>
          <w:szCs w:val="20"/>
        </w:rPr>
        <w:t xml:space="preserve"> Se adjuntan archivos y formatos</w:t>
      </w:r>
      <w:r>
        <w:rPr>
          <w:rFonts w:ascii="Candara" w:hAnsi="Candara"/>
          <w:sz w:val="20"/>
          <w:szCs w:val="20"/>
        </w:rPr>
        <w:t>.</w:t>
      </w:r>
    </w:p>
    <w:p w:rsidR="00473572" w:rsidRDefault="00473572" w:rsidP="00473572">
      <w:pPr>
        <w:rPr>
          <w:rFonts w:ascii="Candara" w:hAnsi="Candara"/>
          <w:sz w:val="20"/>
          <w:szCs w:val="20"/>
        </w:rPr>
      </w:pPr>
    </w:p>
    <w:p w:rsidR="003A6B5E" w:rsidRDefault="00473572" w:rsidP="00473572">
      <w:r>
        <w:rPr>
          <w:rFonts w:ascii="Candara" w:hAnsi="Candara"/>
          <w:sz w:val="20"/>
          <w:szCs w:val="20"/>
        </w:rPr>
        <w:t xml:space="preserve">De igual forma considerando de que se tiene la obligación de mantenerse la información relativa a dos ejercicios anteriores; es decir de 2017 y 2018, se informa que las administraciones pasadas </w:t>
      </w:r>
      <w:r w:rsidRPr="00B15093">
        <w:rPr>
          <w:rFonts w:ascii="Candara" w:hAnsi="Candara"/>
          <w:b/>
          <w:sz w:val="20"/>
          <w:szCs w:val="20"/>
        </w:rPr>
        <w:t>no dej</w:t>
      </w:r>
      <w:r>
        <w:rPr>
          <w:rFonts w:ascii="Candara" w:hAnsi="Candara"/>
          <w:b/>
          <w:sz w:val="20"/>
          <w:szCs w:val="20"/>
        </w:rPr>
        <w:t>aron</w:t>
      </w:r>
      <w:r w:rsidRPr="00B15093">
        <w:rPr>
          <w:rFonts w:ascii="Candara" w:hAnsi="Candara"/>
          <w:b/>
          <w:sz w:val="20"/>
          <w:szCs w:val="20"/>
        </w:rPr>
        <w:t xml:space="preserve"> o entreg</w:t>
      </w:r>
      <w:r>
        <w:rPr>
          <w:rFonts w:ascii="Candara" w:hAnsi="Candara"/>
          <w:b/>
          <w:sz w:val="20"/>
          <w:szCs w:val="20"/>
        </w:rPr>
        <w:t>aron</w:t>
      </w:r>
      <w:r w:rsidRPr="00B15093">
        <w:rPr>
          <w:rFonts w:ascii="Candara" w:hAnsi="Candara"/>
          <w:b/>
          <w:sz w:val="20"/>
          <w:szCs w:val="20"/>
        </w:rPr>
        <w:t xml:space="preserve"> información respecto a este rubro</w:t>
      </w:r>
      <w:r>
        <w:rPr>
          <w:rFonts w:ascii="Candara" w:hAnsi="Candara"/>
          <w:sz w:val="20"/>
          <w:szCs w:val="20"/>
        </w:rPr>
        <w:t>.</w:t>
      </w:r>
      <w:bookmarkStart w:id="0" w:name="_GoBack"/>
      <w:bookmarkEnd w:id="0"/>
    </w:p>
    <w:sectPr w:rsidR="003A6B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72"/>
    <w:rsid w:val="00054E7F"/>
    <w:rsid w:val="00473572"/>
    <w:rsid w:val="00AC1BA7"/>
    <w:rsid w:val="00AF1A73"/>
    <w:rsid w:val="00E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647A5-96B1-4B84-BF3D-6B8A35E2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57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35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2019-01-23T23:14:00Z</dcterms:created>
  <dcterms:modified xsi:type="dcterms:W3CDTF">2019-01-23T23:15:00Z</dcterms:modified>
</cp:coreProperties>
</file>